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F61B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59E823A7" w14:textId="02213B4D" w:rsidR="00430F35" w:rsidRPr="00630805" w:rsidRDefault="00197FBD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AMENDED </w:t>
      </w:r>
      <w:r w:rsidR="00430F35" w:rsidRPr="00630805">
        <w:rPr>
          <w:rFonts w:cs="Times New Roman"/>
          <w:sz w:val="36"/>
          <w:szCs w:val="36"/>
        </w:rPr>
        <w:t>CONTINUING DISCLOSURE REPORT</w:t>
      </w:r>
    </w:p>
    <w:p w14:paraId="39ACA033" w14:textId="77777777" w:rsidR="00430F35" w:rsidRPr="0063080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  <w:r w:rsidRPr="00630805">
        <w:rPr>
          <w:rFonts w:cs="Times New Roman"/>
          <w:sz w:val="36"/>
          <w:szCs w:val="36"/>
        </w:rPr>
        <w:t>FOR THE</w:t>
      </w:r>
    </w:p>
    <w:p w14:paraId="2E8A98E6" w14:textId="15D9BD7A" w:rsidR="00430F35" w:rsidRPr="0063080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  <w:r w:rsidRPr="00630805">
        <w:rPr>
          <w:rFonts w:cs="Times New Roman"/>
          <w:sz w:val="36"/>
          <w:szCs w:val="36"/>
        </w:rPr>
        <w:t xml:space="preserve">FISCAL YEAR ENDED </w:t>
      </w:r>
      <w:r w:rsidR="00504A04">
        <w:rPr>
          <w:rFonts w:cs="Times New Roman"/>
          <w:sz w:val="36"/>
          <w:szCs w:val="36"/>
        </w:rPr>
        <w:t>DEC</w:t>
      </w:r>
      <w:r w:rsidR="007E2C18">
        <w:rPr>
          <w:rFonts w:cs="Times New Roman"/>
          <w:sz w:val="36"/>
          <w:szCs w:val="36"/>
        </w:rPr>
        <w:t>EMBER 3</w:t>
      </w:r>
      <w:r w:rsidR="00504A04">
        <w:rPr>
          <w:rFonts w:cs="Times New Roman"/>
          <w:sz w:val="36"/>
          <w:szCs w:val="36"/>
        </w:rPr>
        <w:t>1</w:t>
      </w:r>
      <w:r w:rsidR="00A069CE">
        <w:rPr>
          <w:rFonts w:cs="Times New Roman"/>
          <w:sz w:val="36"/>
          <w:szCs w:val="36"/>
        </w:rPr>
        <w:t>, 20</w:t>
      </w:r>
      <w:r w:rsidR="0090012F">
        <w:rPr>
          <w:rFonts w:cs="Times New Roman"/>
          <w:sz w:val="36"/>
          <w:szCs w:val="36"/>
        </w:rPr>
        <w:t>2</w:t>
      </w:r>
      <w:r w:rsidR="00B55317">
        <w:rPr>
          <w:rFonts w:cs="Times New Roman"/>
          <w:sz w:val="36"/>
          <w:szCs w:val="36"/>
        </w:rPr>
        <w:t>4</w:t>
      </w:r>
    </w:p>
    <w:p w14:paraId="16187744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43A418A9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0952E4A3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4C1A0181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1CB885DC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6DF41426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47B5DDBB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27082660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7EB509BD" w14:textId="77777777" w:rsidR="00430F35" w:rsidRPr="0063080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024381D6" w14:textId="77777777" w:rsidR="00430F35" w:rsidRPr="00630805" w:rsidRDefault="003F066E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>SCURRY</w:t>
      </w:r>
      <w:r w:rsidR="007E2C18">
        <w:rPr>
          <w:rFonts w:cs="Times New Roman"/>
          <w:sz w:val="48"/>
          <w:szCs w:val="48"/>
        </w:rPr>
        <w:t xml:space="preserve"> COUNTY, TEXAS</w:t>
      </w:r>
    </w:p>
    <w:p w14:paraId="72D8B10D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7E0D3668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5BED4045" w14:textId="77777777" w:rsidR="00430F35" w:rsidRPr="0063080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37C78716" w14:textId="77777777" w:rsidR="00430F35" w:rsidRPr="0063080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  <w:r w:rsidRPr="00630805">
        <w:rPr>
          <w:rFonts w:cs="Times New Roman"/>
          <w:sz w:val="36"/>
          <w:szCs w:val="36"/>
        </w:rPr>
        <w:t>GEN</w:t>
      </w:r>
      <w:r w:rsidR="00FA14FA">
        <w:rPr>
          <w:rFonts w:cs="Times New Roman"/>
          <w:sz w:val="36"/>
          <w:szCs w:val="36"/>
        </w:rPr>
        <w:t>E</w:t>
      </w:r>
      <w:r w:rsidRPr="00630805">
        <w:rPr>
          <w:rFonts w:cs="Times New Roman"/>
          <w:sz w:val="36"/>
          <w:szCs w:val="36"/>
        </w:rPr>
        <w:t>RAL OBLIGATION DEBT</w:t>
      </w:r>
    </w:p>
    <w:p w14:paraId="7C961FAB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2649EAAB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7CBC6C39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6390B932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421DA1FC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05DC0CD4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65E4D10B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16347D66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76BB62D4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2EE6E432" wp14:editId="6ACD18E5">
            <wp:extent cx="3914775" cy="790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B68BD" w14:textId="77777777" w:rsidR="00430F35" w:rsidRPr="0063080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36"/>
          <w:szCs w:val="36"/>
        </w:rPr>
      </w:pPr>
    </w:p>
    <w:p w14:paraId="4F7DC8BE" w14:textId="77777777" w:rsidR="00430F35" w:rsidRDefault="00430F35" w:rsidP="00430F3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78AEFB3" w14:textId="77777777" w:rsidR="00430F35" w:rsidRPr="004E3B0D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4E3B0D">
        <w:rPr>
          <w:rFonts w:cs="Times New Roman"/>
          <w:b/>
          <w:bCs/>
          <w:sz w:val="28"/>
          <w:szCs w:val="28"/>
        </w:rPr>
        <w:lastRenderedPageBreak/>
        <w:t>FINANCIAL STATEMENTS</w:t>
      </w:r>
    </w:p>
    <w:p w14:paraId="181A753B" w14:textId="77777777" w:rsidR="00430F35" w:rsidRPr="00186C4C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14:paraId="4A100BAF" w14:textId="4FEC9A51" w:rsidR="00897773" w:rsidRPr="00E4309E" w:rsidRDefault="00897773" w:rsidP="00897773">
      <w:pPr>
        <w:autoSpaceDE w:val="0"/>
        <w:autoSpaceDN w:val="0"/>
        <w:adjustRightInd w:val="0"/>
        <w:ind w:firstLine="0"/>
        <w:jc w:val="both"/>
        <w:rPr>
          <w:rFonts w:ascii="Calibri" w:hAnsi="Calibri" w:cs="Calibri"/>
          <w:sz w:val="24"/>
          <w:szCs w:val="24"/>
        </w:rPr>
      </w:pPr>
      <w:r w:rsidRPr="00E4309E">
        <w:rPr>
          <w:rFonts w:ascii="Calibri" w:hAnsi="Calibri" w:cs="Calibri"/>
          <w:sz w:val="24"/>
          <w:szCs w:val="24"/>
        </w:rPr>
        <w:t xml:space="preserve">The </w:t>
      </w:r>
      <w:proofErr w:type="gramStart"/>
      <w:r w:rsidRPr="00E4309E">
        <w:rPr>
          <w:rFonts w:ascii="Calibri" w:hAnsi="Calibri" w:cs="Calibri"/>
          <w:sz w:val="24"/>
          <w:szCs w:val="24"/>
        </w:rPr>
        <w:t>audited financial statements</w:t>
      </w:r>
      <w:proofErr w:type="gramEnd"/>
      <w:r w:rsidRPr="00E4309E">
        <w:rPr>
          <w:rFonts w:ascii="Calibri" w:hAnsi="Calibri" w:cs="Calibri"/>
          <w:sz w:val="24"/>
          <w:szCs w:val="24"/>
        </w:rPr>
        <w:t xml:space="preserve"> for the </w:t>
      </w:r>
      <w:r>
        <w:rPr>
          <w:rFonts w:ascii="Calibri" w:hAnsi="Calibri" w:cs="Calibri"/>
          <w:sz w:val="24"/>
          <w:szCs w:val="24"/>
        </w:rPr>
        <w:t>County</w:t>
      </w:r>
      <w:r w:rsidRPr="00E4309E">
        <w:rPr>
          <w:rFonts w:ascii="Calibri" w:hAnsi="Calibri" w:cs="Calibri"/>
          <w:sz w:val="24"/>
          <w:szCs w:val="24"/>
        </w:rPr>
        <w:t xml:space="preserve"> for the fiscal year ended </w:t>
      </w:r>
      <w:r w:rsidR="00504A04">
        <w:rPr>
          <w:rFonts w:ascii="Calibri" w:hAnsi="Calibri" w:cs="Calibri"/>
          <w:sz w:val="24"/>
          <w:szCs w:val="24"/>
        </w:rPr>
        <w:t>December 31</w:t>
      </w:r>
      <w:r w:rsidR="00460F83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="00460F83">
        <w:rPr>
          <w:rFonts w:ascii="Calibri" w:hAnsi="Calibri" w:cs="Calibri"/>
          <w:sz w:val="24"/>
          <w:szCs w:val="24"/>
        </w:rPr>
        <w:t>20</w:t>
      </w:r>
      <w:r w:rsidR="0090012F">
        <w:rPr>
          <w:rFonts w:ascii="Calibri" w:hAnsi="Calibri" w:cs="Calibri"/>
          <w:sz w:val="24"/>
          <w:szCs w:val="24"/>
        </w:rPr>
        <w:t>2</w:t>
      </w:r>
      <w:r w:rsidR="00B55317">
        <w:rPr>
          <w:rFonts w:ascii="Calibri" w:hAnsi="Calibri" w:cs="Calibri"/>
          <w:sz w:val="24"/>
          <w:szCs w:val="24"/>
        </w:rPr>
        <w:t>4</w:t>
      </w:r>
      <w:proofErr w:type="gramEnd"/>
      <w:r w:rsidR="00197FBD">
        <w:rPr>
          <w:rFonts w:ascii="Calibri" w:hAnsi="Calibri" w:cs="Calibri"/>
          <w:sz w:val="24"/>
          <w:szCs w:val="24"/>
        </w:rPr>
        <w:t xml:space="preserve"> </w:t>
      </w:r>
      <w:r w:rsidRPr="00E4309E">
        <w:rPr>
          <w:rFonts w:ascii="Calibri" w:hAnsi="Calibri" w:cs="Calibri"/>
          <w:sz w:val="24"/>
          <w:szCs w:val="24"/>
        </w:rPr>
        <w:t xml:space="preserve">are being separately filed with the Nationally Recognized Municipal Securities Information Repository and any applicable State Information </w:t>
      </w:r>
      <w:proofErr w:type="gramStart"/>
      <w:r w:rsidRPr="00E4309E">
        <w:rPr>
          <w:rFonts w:ascii="Calibri" w:hAnsi="Calibri" w:cs="Calibri"/>
          <w:sz w:val="24"/>
          <w:szCs w:val="24"/>
        </w:rPr>
        <w:t>Depository, and</w:t>
      </w:r>
      <w:proofErr w:type="gramEnd"/>
      <w:r w:rsidRPr="00E4309E">
        <w:rPr>
          <w:rFonts w:ascii="Calibri" w:hAnsi="Calibri" w:cs="Calibri"/>
          <w:sz w:val="24"/>
          <w:szCs w:val="24"/>
        </w:rPr>
        <w:t xml:space="preserve"> are hereby incorporated by reference into this Annual Continuing Disclosure Report.</w:t>
      </w:r>
    </w:p>
    <w:p w14:paraId="649D1BB4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7A3CAE24" w14:textId="77777777" w:rsidR="00430F35" w:rsidRPr="004E3B0D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4E3B0D">
        <w:rPr>
          <w:rFonts w:cs="Times New Roman"/>
          <w:b/>
          <w:bCs/>
          <w:sz w:val="28"/>
          <w:szCs w:val="28"/>
        </w:rPr>
        <w:t>SIGNATURE OF ISSUER</w:t>
      </w:r>
    </w:p>
    <w:p w14:paraId="04F18E8C" w14:textId="77777777" w:rsidR="00430F35" w:rsidRPr="00186C4C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14:paraId="41F640E3" w14:textId="77777777" w:rsidR="00430F35" w:rsidRDefault="00430F35" w:rsidP="00430F35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 w:rsidRPr="00186C4C">
        <w:rPr>
          <w:rFonts w:cs="Times New Roman"/>
          <w:sz w:val="24"/>
          <w:szCs w:val="24"/>
        </w:rPr>
        <w:t xml:space="preserve">The information set forth herein has been obtained from the </w:t>
      </w:r>
      <w:r w:rsidR="007E2C18">
        <w:rPr>
          <w:rFonts w:cs="Times New Roman"/>
          <w:sz w:val="24"/>
          <w:szCs w:val="24"/>
        </w:rPr>
        <w:t>County</w:t>
      </w:r>
      <w:r w:rsidRPr="00186C4C">
        <w:rPr>
          <w:rFonts w:cs="Times New Roman"/>
          <w:sz w:val="24"/>
          <w:szCs w:val="24"/>
        </w:rPr>
        <w:t xml:space="preserve"> and other sources believed to be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reliable, but such information is not guaranteed as to accuracy or completeness and is not to be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 xml:space="preserve">construed as a promise or guarantee. 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This Annual Continuing Disclosure Report may contain, in part,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estimates and matters of opinion which are not intended as statements of fact, and no representation is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 xml:space="preserve">made as to the correctness of such estimates and opinions, or that they will be realized. 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The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information and expressions of opinion contained herein are subject to change without notice, and the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delivery of this Annual Continuing Disclosure Report will not, under any circumstances, create any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 xml:space="preserve">implication that there has been no change in the affairs of the </w:t>
      </w:r>
      <w:r w:rsidR="007E2C18">
        <w:rPr>
          <w:rFonts w:cs="Times New Roman"/>
          <w:sz w:val="24"/>
          <w:szCs w:val="24"/>
        </w:rPr>
        <w:t>County</w:t>
      </w:r>
      <w:r w:rsidRPr="00186C4C">
        <w:rPr>
          <w:rFonts w:cs="Times New Roman"/>
          <w:sz w:val="24"/>
          <w:szCs w:val="24"/>
        </w:rPr>
        <w:t xml:space="preserve"> or other matters described.</w:t>
      </w:r>
    </w:p>
    <w:p w14:paraId="1F242EDE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4A26AB6D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488B57F4" w14:textId="77777777" w:rsidR="00430F35" w:rsidRPr="004E3B0D" w:rsidRDefault="003F066E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SCURRY</w:t>
      </w:r>
      <w:r w:rsidR="007E2C18">
        <w:rPr>
          <w:rFonts w:cs="Times New Roman"/>
          <w:b/>
          <w:bCs/>
          <w:sz w:val="28"/>
          <w:szCs w:val="28"/>
        </w:rPr>
        <w:t xml:space="preserve"> COUNTY, TEXAS</w:t>
      </w:r>
    </w:p>
    <w:p w14:paraId="24B9FFF0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14:paraId="0E9C5AEE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5619"/>
        <w:gridCol w:w="1871"/>
      </w:tblGrid>
      <w:tr w:rsidR="00430F35" w14:paraId="00A404CE" w14:textId="77777777" w:rsidTr="00B7777E">
        <w:tc>
          <w:tcPr>
            <w:tcW w:w="1915" w:type="dxa"/>
          </w:tcPr>
          <w:p w14:paraId="1F590D8B" w14:textId="77777777" w:rsidR="00430F35" w:rsidRDefault="00430F35" w:rsidP="00B777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36694000" w14:textId="2C0C8F7C" w:rsidR="00430F35" w:rsidRDefault="002C78D3" w:rsidP="00B777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/s/ Angela Sanchez</w:t>
            </w:r>
          </w:p>
        </w:tc>
        <w:tc>
          <w:tcPr>
            <w:tcW w:w="1916" w:type="dxa"/>
          </w:tcPr>
          <w:p w14:paraId="7EC903CE" w14:textId="77777777" w:rsidR="00430F35" w:rsidRDefault="00430F35" w:rsidP="00B777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2F58F5D4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02DB9931" w14:textId="77777777" w:rsidR="00430F35" w:rsidRPr="00186C4C" w:rsidRDefault="007E2C18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County Auditor, </w:t>
      </w:r>
      <w:r w:rsidR="003F066E">
        <w:rPr>
          <w:rFonts w:cs="Times New Roman"/>
          <w:sz w:val="24"/>
          <w:szCs w:val="24"/>
        </w:rPr>
        <w:t>Scurry</w:t>
      </w:r>
      <w:r>
        <w:rPr>
          <w:rFonts w:cs="Times New Roman"/>
          <w:sz w:val="24"/>
          <w:szCs w:val="24"/>
        </w:rPr>
        <w:t xml:space="preserve"> County, Texas</w:t>
      </w:r>
    </w:p>
    <w:p w14:paraId="3D909D3E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6FED2AB4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788C2603" w14:textId="77777777" w:rsidR="00430F35" w:rsidRPr="00186C4C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sz w:val="24"/>
          <w:szCs w:val="24"/>
        </w:rPr>
        <w:t>Approved for Submission</w:t>
      </w:r>
      <w:r w:rsidRPr="00186C4C">
        <w:rPr>
          <w:rFonts w:cs="Times New Roman"/>
          <w:b/>
          <w:bCs/>
          <w:sz w:val="24"/>
          <w:szCs w:val="24"/>
        </w:rPr>
        <w:t>:</w:t>
      </w:r>
    </w:p>
    <w:p w14:paraId="339B2D36" w14:textId="77777777" w:rsidR="00430F35" w:rsidRPr="00186C4C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63224EA6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5622"/>
        <w:gridCol w:w="1870"/>
      </w:tblGrid>
      <w:tr w:rsidR="00430F35" w14:paraId="4F9747E1" w14:textId="77777777" w:rsidTr="00B7777E">
        <w:tc>
          <w:tcPr>
            <w:tcW w:w="1915" w:type="dxa"/>
          </w:tcPr>
          <w:p w14:paraId="363034EF" w14:textId="77777777" w:rsidR="00430F35" w:rsidRDefault="00430F35" w:rsidP="00B777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14:paraId="726B8D9D" w14:textId="6016940D" w:rsidR="00E32CA1" w:rsidRPr="00154E09" w:rsidRDefault="002C78D3" w:rsidP="004E3E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6/</w:t>
            </w:r>
            <w:r w:rsidR="00B55317">
              <w:rPr>
                <w:rFonts w:cs="Times New Roman"/>
                <w:bCs/>
                <w:sz w:val="24"/>
                <w:szCs w:val="24"/>
              </w:rPr>
              <w:t>27/2025</w:t>
            </w:r>
          </w:p>
        </w:tc>
        <w:tc>
          <w:tcPr>
            <w:tcW w:w="1916" w:type="dxa"/>
          </w:tcPr>
          <w:p w14:paraId="2324A33E" w14:textId="77777777" w:rsidR="00430F35" w:rsidRDefault="00430F35" w:rsidP="00B7777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79AD7214" w14:textId="77777777" w:rsidR="00430F35" w:rsidRPr="00186C4C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</w:t>
      </w:r>
    </w:p>
    <w:p w14:paraId="0DFE6653" w14:textId="77777777" w:rsidR="00430F35" w:rsidRDefault="00430F35" w:rsidP="00430F35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73A837C5" w14:textId="77777777" w:rsidR="00430F35" w:rsidRPr="006A56E6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6A56E6">
        <w:rPr>
          <w:rFonts w:cs="Times New Roman"/>
          <w:b/>
          <w:bCs/>
          <w:sz w:val="28"/>
          <w:szCs w:val="28"/>
        </w:rPr>
        <w:lastRenderedPageBreak/>
        <w:t>CERTIFICATE OF SUBMISSION OF ANNUAL REPORT</w:t>
      </w:r>
    </w:p>
    <w:p w14:paraId="1770748F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50344C51" w14:textId="77777777" w:rsidR="00504A04" w:rsidRDefault="00504A04" w:rsidP="00504A04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 w:rsidRPr="00186C4C">
        <w:rPr>
          <w:rFonts w:cs="Times New Roman"/>
          <w:sz w:val="24"/>
          <w:szCs w:val="24"/>
        </w:rPr>
        <w:t>Subject to the continuing disclosure requirements of SEC Rule 15c2-12, this Annual Continuing</w:t>
      </w:r>
      <w:r>
        <w:rPr>
          <w:rFonts w:cs="Times New Roman"/>
          <w:sz w:val="24"/>
          <w:szCs w:val="24"/>
        </w:rPr>
        <w:t xml:space="preserve"> Disclosure Report for Scurry County, Texas</w:t>
      </w:r>
      <w:r w:rsidRPr="00186C4C">
        <w:rPr>
          <w:rFonts w:cs="Times New Roman"/>
          <w:sz w:val="24"/>
          <w:szCs w:val="24"/>
        </w:rPr>
        <w:t xml:space="preserve"> with respect to the issues listed on the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 xml:space="preserve">report cover was submitted to </w:t>
      </w:r>
      <w:r>
        <w:rPr>
          <w:rFonts w:cs="Times New Roman"/>
          <w:sz w:val="24"/>
          <w:szCs w:val="24"/>
        </w:rPr>
        <w:t>the</w:t>
      </w:r>
      <w:r w:rsidRPr="00186C4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National Recognized Municipal Securities Information Repository (“NRMSIR”)</w:t>
      </w:r>
      <w:r w:rsidRPr="00186C4C">
        <w:rPr>
          <w:rFonts w:cs="Times New Roman"/>
          <w:sz w:val="24"/>
          <w:szCs w:val="24"/>
        </w:rPr>
        <w:t xml:space="preserve"> and any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applicable State Information Depository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and are</w:t>
      </w:r>
      <w:r>
        <w:rPr>
          <w:rFonts w:cs="Times New Roman"/>
          <w:sz w:val="24"/>
          <w:szCs w:val="24"/>
        </w:rPr>
        <w:t xml:space="preserve"> </w:t>
      </w:r>
      <w:r w:rsidRPr="00186C4C">
        <w:rPr>
          <w:rFonts w:cs="Times New Roman"/>
          <w:sz w:val="24"/>
          <w:szCs w:val="24"/>
        </w:rPr>
        <w:t>hereby incorporated by reference into this Annual Continuing Disclosure Report.</w:t>
      </w:r>
    </w:p>
    <w:p w14:paraId="0160AC60" w14:textId="77777777" w:rsidR="00504A04" w:rsidRDefault="00504A04" w:rsidP="00504A04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74C19665" w14:textId="77777777" w:rsidR="00504A04" w:rsidRPr="00186C4C" w:rsidRDefault="00504A04" w:rsidP="00504A04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41B39163" w14:textId="77777777" w:rsidR="00504A04" w:rsidRDefault="00504A04" w:rsidP="00504A04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Municipal Securities Rulemaking Board (“MSRB”)</w:t>
      </w:r>
    </w:p>
    <w:p w14:paraId="20DD492D" w14:textId="77777777" w:rsidR="00504A04" w:rsidRDefault="00504A04" w:rsidP="00504A04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via the Electronic Municipal Market Access (“EMMA”) System</w:t>
      </w:r>
    </w:p>
    <w:p w14:paraId="644CFE64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78C82142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30B0E680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0D878A5B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23D36DF9" w14:textId="77777777" w:rsidR="00430F35" w:rsidRPr="006A56E6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</w:rPr>
      </w:pPr>
      <w:r w:rsidRPr="006A56E6">
        <w:rPr>
          <w:rFonts w:cs="Times New Roman"/>
          <w:b/>
          <w:sz w:val="28"/>
          <w:szCs w:val="28"/>
        </w:rPr>
        <w:t>Specialized Public Finance Inc.</w:t>
      </w:r>
    </w:p>
    <w:p w14:paraId="012EA3AE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754A02DB" w14:textId="77777777" w:rsidR="00430F35" w:rsidRPr="00186C4C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335C71B0" w14:textId="77777777" w:rsidR="00430F35" w:rsidRPr="00186C4C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186C4C">
        <w:rPr>
          <w:rFonts w:cs="Times New Roman"/>
          <w:sz w:val="24"/>
          <w:szCs w:val="24"/>
        </w:rPr>
        <w:t>Signed by:</w:t>
      </w:r>
    </w:p>
    <w:p w14:paraId="7C824221" w14:textId="5F1C27F0" w:rsidR="00430F35" w:rsidRPr="00186C4C" w:rsidRDefault="00430F35" w:rsidP="00430F35">
      <w:pPr>
        <w:pBdr>
          <w:bottom w:val="single" w:sz="4" w:space="1" w:color="auto"/>
        </w:pBdr>
        <w:autoSpaceDE w:val="0"/>
        <w:autoSpaceDN w:val="0"/>
        <w:adjustRightInd w:val="0"/>
        <w:ind w:left="2160" w:right="2160" w:firstLine="0"/>
        <w:jc w:val="center"/>
        <w:rPr>
          <w:rFonts w:cs="Times New Roman"/>
          <w:sz w:val="24"/>
          <w:szCs w:val="24"/>
        </w:rPr>
      </w:pPr>
      <w:r w:rsidRPr="00186C4C">
        <w:rPr>
          <w:rFonts w:cs="Times New Roman"/>
          <w:sz w:val="24"/>
          <w:szCs w:val="24"/>
        </w:rPr>
        <w:t>/s/</w:t>
      </w:r>
      <w:r>
        <w:rPr>
          <w:rFonts w:cs="Times New Roman"/>
          <w:sz w:val="24"/>
          <w:szCs w:val="24"/>
        </w:rPr>
        <w:t xml:space="preserve"> </w:t>
      </w:r>
      <w:r w:rsidR="003361A9">
        <w:rPr>
          <w:rFonts w:cs="Times New Roman"/>
          <w:sz w:val="24"/>
          <w:szCs w:val="24"/>
        </w:rPr>
        <w:t>Kristin Merz</w:t>
      </w:r>
    </w:p>
    <w:p w14:paraId="2C2FD9FC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42CA64E6" w14:textId="77777777" w:rsidR="00582088" w:rsidRDefault="00430F35" w:rsidP="00430F35">
      <w:pPr>
        <w:ind w:firstLine="1440"/>
        <w:rPr>
          <w:rFonts w:cs="Times New Roman"/>
          <w:b/>
          <w:bCs/>
          <w:sz w:val="24"/>
          <w:szCs w:val="24"/>
        </w:rPr>
        <w:sectPr w:rsidR="00582088" w:rsidSect="00186C4C">
          <w:footerReference w:type="default" r:id="rId9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698DA8EA" w14:textId="77777777" w:rsidR="00430F35" w:rsidRPr="001756F7" w:rsidRDefault="003F066E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SCURRY</w:t>
      </w:r>
      <w:r w:rsidR="007E2C18">
        <w:rPr>
          <w:rFonts w:cs="Times New Roman"/>
          <w:b/>
          <w:bCs/>
          <w:sz w:val="28"/>
          <w:szCs w:val="28"/>
        </w:rPr>
        <w:t xml:space="preserve"> COUNTY, TEXAS</w:t>
      </w:r>
    </w:p>
    <w:p w14:paraId="7A95FF48" w14:textId="77777777" w:rsidR="00430F35" w:rsidRPr="00186C4C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>GENERAL OBLIGATION DEBT REPORT</w:t>
      </w:r>
    </w:p>
    <w:p w14:paraId="676F6B09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</w:p>
    <w:p w14:paraId="386A181B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 xml:space="preserve">TABLE 1 - VALUATION, EXEMPTIONS AND </w:t>
      </w:r>
      <w:r w:rsidR="007E2C18">
        <w:rPr>
          <w:rFonts w:cs="Times New Roman"/>
          <w:b/>
          <w:bCs/>
          <w:sz w:val="24"/>
          <w:szCs w:val="24"/>
        </w:rPr>
        <w:t>GENERAL OBLIGATION</w:t>
      </w:r>
      <w:r w:rsidRPr="00186C4C">
        <w:rPr>
          <w:rFonts w:cs="Times New Roman"/>
          <w:b/>
          <w:bCs/>
          <w:sz w:val="24"/>
          <w:szCs w:val="24"/>
        </w:rPr>
        <w:t xml:space="preserve"> DEBT</w:t>
      </w:r>
    </w:p>
    <w:p w14:paraId="592B837F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7560881C" w14:textId="4C0537D3" w:rsidR="00430F35" w:rsidRDefault="00197FBD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197FBD">
        <w:drawing>
          <wp:inline distT="0" distB="0" distL="0" distR="0" wp14:anchorId="5904AFBB" wp14:editId="7608D5F6">
            <wp:extent cx="5743575" cy="5305425"/>
            <wp:effectExtent l="0" t="0" r="9525" b="0"/>
            <wp:docPr id="1720286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865F" w14:textId="77777777" w:rsidR="00460F83" w:rsidRDefault="00460F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FF9A913" w14:textId="77777777" w:rsidR="00460F83" w:rsidRDefault="00460F83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07D83172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0BED9957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>TABLE 2 - TAXABLE ASSESSED VALUATIONS BY CATEGORY</w:t>
      </w:r>
    </w:p>
    <w:p w14:paraId="3520578D" w14:textId="77777777" w:rsidR="00460F83" w:rsidRPr="00186C4C" w:rsidRDefault="00460F83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</w:p>
    <w:p w14:paraId="34CB97DC" w14:textId="19379702" w:rsidR="00430F35" w:rsidRDefault="00B55317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B55317">
        <w:rPr>
          <w:noProof/>
        </w:rPr>
        <w:drawing>
          <wp:inline distT="0" distB="0" distL="0" distR="0" wp14:anchorId="60AE269D" wp14:editId="42C6FF3F">
            <wp:extent cx="5943600" cy="7091045"/>
            <wp:effectExtent l="0" t="0" r="0" b="0"/>
            <wp:docPr id="5993408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DB262" w14:textId="77777777" w:rsidR="00460F83" w:rsidRDefault="00460F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34011CD0" w14:textId="77777777" w:rsidR="00430F35" w:rsidRDefault="00430F35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29BB2EC8" w14:textId="77777777" w:rsidR="00F7121F" w:rsidRDefault="00F7121F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0CFE7E1F" w14:textId="77777777" w:rsidR="00430F35" w:rsidRPr="00186C4C" w:rsidRDefault="007E2C18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TABLE 3 - VALUATION AND GENERAL OBLIGATION </w:t>
      </w:r>
      <w:r w:rsidR="00430F35" w:rsidRPr="00186C4C">
        <w:rPr>
          <w:rFonts w:cs="Times New Roman"/>
          <w:b/>
          <w:bCs/>
          <w:sz w:val="24"/>
          <w:szCs w:val="24"/>
        </w:rPr>
        <w:t>DEBT HISTORY</w:t>
      </w:r>
    </w:p>
    <w:p w14:paraId="1A3923B9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1D1C31BC" w14:textId="0816212F" w:rsidR="00460F83" w:rsidRDefault="00B55317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B55317">
        <w:rPr>
          <w:noProof/>
        </w:rPr>
        <w:drawing>
          <wp:inline distT="0" distB="0" distL="0" distR="0" wp14:anchorId="1EFF9324" wp14:editId="2A3BEDD1">
            <wp:extent cx="5943600" cy="2271395"/>
            <wp:effectExtent l="0" t="0" r="0" b="0"/>
            <wp:docPr id="13037091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B9FF" w14:textId="77777777" w:rsidR="00460F83" w:rsidRDefault="00460F83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466852C7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>TABLE 4 - TAX RATE, LEVY AND COLLECTION HISTORY</w:t>
      </w:r>
    </w:p>
    <w:p w14:paraId="2B3C6413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46D80731" w14:textId="3E43DEB3" w:rsidR="00430F35" w:rsidRDefault="00B55317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B55317">
        <w:rPr>
          <w:noProof/>
        </w:rPr>
        <w:drawing>
          <wp:inline distT="0" distB="0" distL="0" distR="0" wp14:anchorId="5BC1639A" wp14:editId="04C60873">
            <wp:extent cx="5943600" cy="1754505"/>
            <wp:effectExtent l="0" t="0" r="0" b="0"/>
            <wp:docPr id="15068416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8B7EB" w14:textId="77777777" w:rsidR="00B470E9" w:rsidRDefault="00B470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5D49966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080DAE88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 xml:space="preserve">TABLE </w:t>
      </w:r>
      <w:r>
        <w:rPr>
          <w:rFonts w:cs="Times New Roman"/>
          <w:b/>
          <w:bCs/>
          <w:sz w:val="24"/>
          <w:szCs w:val="24"/>
        </w:rPr>
        <w:t>5</w:t>
      </w:r>
      <w:r w:rsidRPr="00186C4C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–</w:t>
      </w:r>
      <w:r w:rsidRPr="00186C4C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TAX RATE DISTRIBUTION ANALYSIS</w:t>
      </w:r>
    </w:p>
    <w:p w14:paraId="0FED4E08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</w:p>
    <w:p w14:paraId="1DD74C58" w14:textId="73F92024" w:rsidR="00430F35" w:rsidRDefault="00B55317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B55317">
        <w:rPr>
          <w:noProof/>
        </w:rPr>
        <w:drawing>
          <wp:inline distT="0" distB="0" distL="0" distR="0" wp14:anchorId="6531E39F" wp14:editId="7BAB7446">
            <wp:extent cx="5943600" cy="2120900"/>
            <wp:effectExtent l="0" t="0" r="0" b="0"/>
            <wp:docPr id="19238551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891BA" w14:textId="77777777" w:rsidR="00111FCD" w:rsidRDefault="00111FCD" w:rsidP="00B470E9">
      <w:pPr>
        <w:ind w:firstLine="0"/>
        <w:rPr>
          <w:rFonts w:cs="Times New Roman"/>
          <w:b/>
          <w:bCs/>
          <w:sz w:val="24"/>
          <w:szCs w:val="24"/>
        </w:rPr>
      </w:pPr>
    </w:p>
    <w:p w14:paraId="631B6A87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 xml:space="preserve">TABLE </w:t>
      </w:r>
      <w:r>
        <w:rPr>
          <w:rFonts w:cs="Times New Roman"/>
          <w:b/>
          <w:bCs/>
          <w:sz w:val="24"/>
          <w:szCs w:val="24"/>
        </w:rPr>
        <w:t>6</w:t>
      </w:r>
      <w:r w:rsidRPr="00186C4C">
        <w:rPr>
          <w:rFonts w:cs="Times New Roman"/>
          <w:b/>
          <w:bCs/>
          <w:sz w:val="24"/>
          <w:szCs w:val="24"/>
        </w:rPr>
        <w:t xml:space="preserve"> - TEN LARGEST TAXPAYERS</w:t>
      </w:r>
    </w:p>
    <w:p w14:paraId="2DD2B4B4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</w:p>
    <w:p w14:paraId="076B3A4E" w14:textId="2157D4F9" w:rsidR="00430F35" w:rsidRDefault="00B55317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B55317">
        <w:rPr>
          <w:noProof/>
        </w:rPr>
        <w:drawing>
          <wp:inline distT="0" distB="0" distL="0" distR="0" wp14:anchorId="29CE7612" wp14:editId="64F4E090">
            <wp:extent cx="3810000" cy="3028950"/>
            <wp:effectExtent l="0" t="0" r="0" b="0"/>
            <wp:docPr id="7712446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87ECE" w14:textId="77777777" w:rsidR="00430F35" w:rsidRDefault="00B470E9" w:rsidP="00B470E9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56156EB7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cs="Times New Roman"/>
          <w:b/>
          <w:bCs/>
          <w:sz w:val="24"/>
          <w:szCs w:val="24"/>
        </w:rPr>
        <w:t>7</w:t>
      </w:r>
      <w:r w:rsidRPr="00186C4C">
        <w:rPr>
          <w:rFonts w:cs="Times New Roman"/>
          <w:b/>
          <w:bCs/>
          <w:sz w:val="24"/>
          <w:szCs w:val="24"/>
        </w:rPr>
        <w:t xml:space="preserve"> - TAX </w:t>
      </w:r>
      <w:r>
        <w:rPr>
          <w:rFonts w:cs="Times New Roman"/>
          <w:b/>
          <w:bCs/>
          <w:sz w:val="24"/>
          <w:szCs w:val="24"/>
        </w:rPr>
        <w:t>ADEQUACY</w:t>
      </w:r>
    </w:p>
    <w:p w14:paraId="0F454012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6EB7A0FE" w14:textId="52F058F4" w:rsidR="00430F35" w:rsidRDefault="00B55317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B55317">
        <w:rPr>
          <w:noProof/>
        </w:rPr>
        <w:drawing>
          <wp:inline distT="0" distB="0" distL="0" distR="0" wp14:anchorId="2F453B4A" wp14:editId="68BE5EDC">
            <wp:extent cx="5943600" cy="1689100"/>
            <wp:effectExtent l="0" t="0" r="0" b="6350"/>
            <wp:docPr id="11004271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21CB" w14:textId="77777777" w:rsidR="000068D4" w:rsidRDefault="000068D4" w:rsidP="00B470E9">
      <w:pPr>
        <w:ind w:firstLine="0"/>
        <w:rPr>
          <w:rFonts w:cs="Times New Roman"/>
          <w:b/>
          <w:bCs/>
          <w:sz w:val="24"/>
          <w:szCs w:val="24"/>
        </w:rPr>
      </w:pPr>
    </w:p>
    <w:p w14:paraId="6E25236A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 xml:space="preserve">TABLE 9 </w:t>
      </w:r>
      <w:r>
        <w:rPr>
          <w:rFonts w:cs="Times New Roman"/>
          <w:b/>
          <w:bCs/>
          <w:sz w:val="24"/>
          <w:szCs w:val="24"/>
        </w:rPr>
        <w:t>–</w:t>
      </w:r>
      <w:r w:rsidRPr="00186C4C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GENERAL OBLIGATION DEBT SERVICE REQUIREMENTS</w:t>
      </w:r>
    </w:p>
    <w:p w14:paraId="21CC7BF7" w14:textId="77777777" w:rsidR="00B470E9" w:rsidRDefault="00B470E9" w:rsidP="00B470E9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3CBC8048" w14:textId="637E51C0" w:rsidR="00430F35" w:rsidRDefault="00B55317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B55317">
        <w:rPr>
          <w:noProof/>
        </w:rPr>
        <w:drawing>
          <wp:inline distT="0" distB="0" distL="0" distR="0" wp14:anchorId="5CF1273F" wp14:editId="7811F203">
            <wp:extent cx="4457700" cy="3276600"/>
            <wp:effectExtent l="0" t="0" r="0" b="0"/>
            <wp:docPr id="18217457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23EC" w14:textId="77777777" w:rsidR="00B470E9" w:rsidRDefault="00B470E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F78DF70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6B20A932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>TABLE 10 - INTEREST AND SINKING FUND BUDGET PROJECTION</w:t>
      </w:r>
    </w:p>
    <w:p w14:paraId="5F07D760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4ADE7396" w14:textId="06CA5D0F" w:rsidR="00430F35" w:rsidRDefault="00197FBD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197FBD">
        <w:drawing>
          <wp:inline distT="0" distB="0" distL="0" distR="0" wp14:anchorId="45DA1E21" wp14:editId="12DC00AC">
            <wp:extent cx="5943600" cy="963930"/>
            <wp:effectExtent l="0" t="0" r="0" b="0"/>
            <wp:docPr id="19006189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5FB0" w14:textId="77777777" w:rsidR="006029DE" w:rsidRDefault="006029DE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14:paraId="5305290B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>TABLE 1</w:t>
      </w:r>
      <w:r>
        <w:rPr>
          <w:rFonts w:cs="Times New Roman"/>
          <w:b/>
          <w:bCs/>
          <w:sz w:val="24"/>
          <w:szCs w:val="24"/>
        </w:rPr>
        <w:t>1 –</w:t>
      </w:r>
      <w:r w:rsidRPr="00186C4C">
        <w:rPr>
          <w:rFonts w:cs="Times New Roman"/>
          <w:b/>
          <w:bCs/>
          <w:sz w:val="24"/>
          <w:szCs w:val="24"/>
        </w:rPr>
        <w:t xml:space="preserve"> AUTHORIZED BUT UNISSUED UNLIMITED TAX BONDS</w:t>
      </w:r>
    </w:p>
    <w:p w14:paraId="080465E3" w14:textId="77777777" w:rsidR="00430F35" w:rsidRDefault="00430F35" w:rsidP="00430F35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</w:p>
    <w:p w14:paraId="2BC5759B" w14:textId="77777777" w:rsidR="00430F35" w:rsidRDefault="0021667D" w:rsidP="0021667D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County has no authorized but unissued general obligation bonds.</w:t>
      </w:r>
    </w:p>
    <w:p w14:paraId="513D815E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3F98C69E" w14:textId="73D3BCE1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>TABLE 1</w:t>
      </w:r>
      <w:r>
        <w:rPr>
          <w:rFonts w:cs="Times New Roman"/>
          <w:b/>
          <w:bCs/>
          <w:sz w:val="24"/>
          <w:szCs w:val="24"/>
        </w:rPr>
        <w:t xml:space="preserve">2 </w:t>
      </w:r>
      <w:r w:rsidRPr="00186C4C">
        <w:rPr>
          <w:rFonts w:cs="Times New Roman"/>
          <w:b/>
          <w:bCs/>
          <w:sz w:val="24"/>
          <w:szCs w:val="24"/>
        </w:rPr>
        <w:t>- OTHER OBLIGATIONS</w:t>
      </w:r>
      <w:r w:rsidR="003361A9">
        <w:rPr>
          <w:rFonts w:cs="Times New Roman"/>
          <w:b/>
          <w:bCs/>
          <w:sz w:val="24"/>
          <w:szCs w:val="24"/>
        </w:rPr>
        <w:t>: See Annual Financial Audit for Fiscal Year 20</w:t>
      </w:r>
      <w:r w:rsidR="0090012F">
        <w:rPr>
          <w:rFonts w:cs="Times New Roman"/>
          <w:b/>
          <w:bCs/>
          <w:sz w:val="24"/>
          <w:szCs w:val="24"/>
        </w:rPr>
        <w:t>2</w:t>
      </w:r>
      <w:r w:rsidR="00197FBD">
        <w:rPr>
          <w:rFonts w:cs="Times New Roman"/>
          <w:b/>
          <w:bCs/>
          <w:sz w:val="24"/>
          <w:szCs w:val="24"/>
        </w:rPr>
        <w:t>4</w:t>
      </w:r>
      <w:r w:rsidR="003361A9">
        <w:rPr>
          <w:rFonts w:cs="Times New Roman"/>
          <w:b/>
          <w:bCs/>
          <w:sz w:val="24"/>
          <w:szCs w:val="24"/>
        </w:rPr>
        <w:t>, Note 6</w:t>
      </w:r>
      <w:r w:rsidR="001517F8">
        <w:rPr>
          <w:rFonts w:cs="Times New Roman"/>
          <w:b/>
          <w:bCs/>
          <w:sz w:val="24"/>
          <w:szCs w:val="24"/>
        </w:rPr>
        <w:t xml:space="preserve"> (page 3</w:t>
      </w:r>
      <w:r w:rsidR="00197FBD">
        <w:rPr>
          <w:rFonts w:cs="Times New Roman"/>
          <w:b/>
          <w:bCs/>
          <w:sz w:val="24"/>
          <w:szCs w:val="24"/>
        </w:rPr>
        <w:t>2</w:t>
      </w:r>
      <w:r w:rsidR="00FF024C">
        <w:rPr>
          <w:rFonts w:cs="Times New Roman"/>
          <w:b/>
          <w:bCs/>
          <w:sz w:val="24"/>
          <w:szCs w:val="24"/>
        </w:rPr>
        <w:t>-3</w:t>
      </w:r>
      <w:r w:rsidR="00197FBD">
        <w:rPr>
          <w:rFonts w:cs="Times New Roman"/>
          <w:b/>
          <w:bCs/>
          <w:sz w:val="24"/>
          <w:szCs w:val="24"/>
        </w:rPr>
        <w:t>6</w:t>
      </w:r>
      <w:r w:rsidR="001517F8">
        <w:rPr>
          <w:rFonts w:cs="Times New Roman"/>
          <w:b/>
          <w:bCs/>
          <w:sz w:val="24"/>
          <w:szCs w:val="24"/>
        </w:rPr>
        <w:t>).</w:t>
      </w:r>
      <w:r w:rsidR="00B55317">
        <w:rPr>
          <w:rFonts w:cs="Times New Roman"/>
          <w:b/>
          <w:bCs/>
          <w:sz w:val="24"/>
          <w:szCs w:val="24"/>
        </w:rPr>
        <w:t xml:space="preserve">  </w:t>
      </w:r>
    </w:p>
    <w:p w14:paraId="63088293" w14:textId="77777777" w:rsidR="00F313B9" w:rsidRDefault="00F313B9" w:rsidP="00F313B9">
      <w:pPr>
        <w:ind w:firstLine="0"/>
        <w:rPr>
          <w:noProof/>
        </w:rPr>
      </w:pPr>
    </w:p>
    <w:p w14:paraId="58861FD0" w14:textId="3DEE120F" w:rsidR="002150C7" w:rsidRDefault="002150C7" w:rsidP="00F313B9">
      <w:pPr>
        <w:ind w:firstLine="0"/>
        <w:rPr>
          <w:rFonts w:cs="Times New Roman"/>
          <w:b/>
          <w:bCs/>
          <w:sz w:val="24"/>
          <w:szCs w:val="24"/>
        </w:rPr>
      </w:pPr>
    </w:p>
    <w:p w14:paraId="2C7F434F" w14:textId="77777777" w:rsidR="00F313B9" w:rsidRDefault="00F313B9" w:rsidP="00F313B9">
      <w:pPr>
        <w:ind w:firstLine="0"/>
        <w:rPr>
          <w:rFonts w:cs="Times New Roman"/>
          <w:b/>
          <w:bCs/>
          <w:sz w:val="24"/>
          <w:szCs w:val="24"/>
        </w:rPr>
      </w:pPr>
    </w:p>
    <w:p w14:paraId="2945F1E3" w14:textId="77777777" w:rsidR="00F313B9" w:rsidRDefault="00F313B9" w:rsidP="00F313B9">
      <w:pPr>
        <w:ind w:firstLine="0"/>
        <w:rPr>
          <w:rFonts w:cs="Times New Roman"/>
          <w:b/>
          <w:bCs/>
          <w:sz w:val="24"/>
          <w:szCs w:val="24"/>
        </w:rPr>
      </w:pPr>
    </w:p>
    <w:p w14:paraId="7B5D502D" w14:textId="77777777" w:rsidR="00F313B9" w:rsidRDefault="00F313B9" w:rsidP="00F313B9">
      <w:pPr>
        <w:ind w:firstLine="0"/>
        <w:rPr>
          <w:rFonts w:cs="Times New Roman"/>
          <w:b/>
          <w:bCs/>
          <w:sz w:val="24"/>
          <w:szCs w:val="24"/>
        </w:rPr>
      </w:pPr>
    </w:p>
    <w:p w14:paraId="45D9CFD3" w14:textId="77777777" w:rsidR="00F313B9" w:rsidRPr="00F313B9" w:rsidRDefault="00F313B9" w:rsidP="00F313B9">
      <w:pPr>
        <w:ind w:firstLine="0"/>
        <w:jc w:val="center"/>
        <w:rPr>
          <w:rFonts w:cs="Times New Roman"/>
          <w:b/>
          <w:bCs/>
          <w:i/>
          <w:sz w:val="24"/>
          <w:szCs w:val="24"/>
        </w:rPr>
      </w:pPr>
      <w:r w:rsidRPr="00F313B9">
        <w:rPr>
          <w:rFonts w:cs="Times New Roman"/>
          <w:b/>
          <w:bCs/>
          <w:i/>
          <w:sz w:val="24"/>
          <w:szCs w:val="24"/>
        </w:rPr>
        <w:t>The Remainder of This Page Intentionally Left Blank</w:t>
      </w:r>
      <w:r w:rsidRPr="00F313B9">
        <w:rPr>
          <w:rFonts w:cs="Times New Roman"/>
          <w:b/>
          <w:bCs/>
          <w:i/>
          <w:sz w:val="24"/>
          <w:szCs w:val="24"/>
        </w:rPr>
        <w:br w:type="page"/>
      </w:r>
    </w:p>
    <w:p w14:paraId="5006A6B2" w14:textId="77777777" w:rsidR="0021667D" w:rsidRDefault="0021667D" w:rsidP="0021667D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lastRenderedPageBreak/>
        <w:t>TABLE 1</w:t>
      </w:r>
      <w:r>
        <w:rPr>
          <w:rFonts w:cs="Times New Roman"/>
          <w:b/>
          <w:bCs/>
          <w:sz w:val="24"/>
          <w:szCs w:val="24"/>
        </w:rPr>
        <w:t>3</w:t>
      </w:r>
      <w:r w:rsidRPr="00186C4C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–</w:t>
      </w:r>
      <w:r w:rsidRPr="00186C4C">
        <w:rPr>
          <w:rFonts w:cs="Times New Roman"/>
          <w:b/>
          <w:bCs/>
          <w:sz w:val="24"/>
          <w:szCs w:val="24"/>
        </w:rPr>
        <w:t xml:space="preserve"> </w:t>
      </w:r>
      <w:r w:rsidR="002150C7">
        <w:rPr>
          <w:rFonts w:cs="Times New Roman"/>
          <w:b/>
          <w:bCs/>
          <w:sz w:val="24"/>
          <w:szCs w:val="24"/>
        </w:rPr>
        <w:t>CHANGE IN NET POISTION</w:t>
      </w:r>
    </w:p>
    <w:p w14:paraId="2A35DAB9" w14:textId="77777777" w:rsidR="00E95505" w:rsidRPr="00186C4C" w:rsidRDefault="00E95505" w:rsidP="0021667D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</w:p>
    <w:p w14:paraId="6F14BFCC" w14:textId="615611EE" w:rsidR="0021667D" w:rsidRDefault="00197FBD" w:rsidP="00E9550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97FBD">
        <w:drawing>
          <wp:inline distT="0" distB="0" distL="0" distR="0" wp14:anchorId="112D9A4E" wp14:editId="0C8C0036">
            <wp:extent cx="5943600" cy="6160770"/>
            <wp:effectExtent l="0" t="0" r="0" b="0"/>
            <wp:docPr id="2059368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EF816" w14:textId="77777777" w:rsidR="0025339C" w:rsidRDefault="0025339C" w:rsidP="00E9550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7B502AF2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lastRenderedPageBreak/>
        <w:t>TABLE 1</w:t>
      </w:r>
      <w:r>
        <w:rPr>
          <w:rFonts w:cs="Times New Roman"/>
          <w:b/>
          <w:bCs/>
          <w:sz w:val="24"/>
          <w:szCs w:val="24"/>
        </w:rPr>
        <w:t>3</w:t>
      </w:r>
      <w:r w:rsidR="0021667D">
        <w:rPr>
          <w:rFonts w:cs="Times New Roman"/>
          <w:b/>
          <w:bCs/>
          <w:sz w:val="24"/>
          <w:szCs w:val="24"/>
        </w:rPr>
        <w:t>-A</w:t>
      </w:r>
      <w:r w:rsidRPr="00186C4C">
        <w:rPr>
          <w:rFonts w:cs="Times New Roman"/>
          <w:b/>
          <w:bCs/>
          <w:sz w:val="24"/>
          <w:szCs w:val="24"/>
        </w:rPr>
        <w:t xml:space="preserve"> - GENERAL FUND REVENUES AND EXPENDITURE HISTORY</w:t>
      </w:r>
    </w:p>
    <w:p w14:paraId="4D8C86A4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23161DD1" w14:textId="4CD81534" w:rsidR="00430F35" w:rsidRDefault="00197FBD" w:rsidP="008B7344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197FBD">
        <w:drawing>
          <wp:inline distT="0" distB="0" distL="0" distR="0" wp14:anchorId="648A7C60" wp14:editId="09687B98">
            <wp:extent cx="5943600" cy="5146040"/>
            <wp:effectExtent l="0" t="0" r="0" b="0"/>
            <wp:docPr id="1770135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A568" w14:textId="77777777" w:rsidR="00A27DFC" w:rsidRDefault="00A27DFC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</w:p>
    <w:p w14:paraId="09104F64" w14:textId="77777777" w:rsidR="00430F35" w:rsidRPr="00186C4C" w:rsidRDefault="00430F35" w:rsidP="00430F35">
      <w:pPr>
        <w:autoSpaceDE w:val="0"/>
        <w:autoSpaceDN w:val="0"/>
        <w:adjustRightInd w:val="0"/>
        <w:ind w:firstLine="0"/>
        <w:rPr>
          <w:rFonts w:cs="Times New Roman"/>
          <w:b/>
          <w:bCs/>
          <w:sz w:val="24"/>
          <w:szCs w:val="24"/>
        </w:rPr>
      </w:pPr>
      <w:r w:rsidRPr="00186C4C">
        <w:rPr>
          <w:rFonts w:cs="Times New Roman"/>
          <w:b/>
          <w:bCs/>
          <w:sz w:val="24"/>
          <w:szCs w:val="24"/>
        </w:rPr>
        <w:t>TABLE 1</w:t>
      </w:r>
      <w:r w:rsidR="0021667D">
        <w:rPr>
          <w:rFonts w:cs="Times New Roman"/>
          <w:b/>
          <w:bCs/>
          <w:sz w:val="24"/>
          <w:szCs w:val="24"/>
        </w:rPr>
        <w:t>4</w:t>
      </w:r>
      <w:r w:rsidRPr="00186C4C">
        <w:rPr>
          <w:rFonts w:cs="Times New Roman"/>
          <w:b/>
          <w:bCs/>
          <w:sz w:val="24"/>
          <w:szCs w:val="24"/>
        </w:rPr>
        <w:t xml:space="preserve"> - CURRENT INVESTMENTS</w:t>
      </w:r>
    </w:p>
    <w:p w14:paraId="51C2632E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2963A9DD" w14:textId="60B4BEE6" w:rsidR="00430F35" w:rsidRPr="00186C4C" w:rsidRDefault="00430F35" w:rsidP="00430F35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 w:rsidRPr="00186C4C">
        <w:rPr>
          <w:rFonts w:cs="Times New Roman"/>
          <w:sz w:val="24"/>
          <w:szCs w:val="24"/>
        </w:rPr>
        <w:t xml:space="preserve">As of </w:t>
      </w:r>
      <w:r w:rsidR="0021667D">
        <w:rPr>
          <w:rFonts w:cs="Times New Roman"/>
          <w:sz w:val="24"/>
          <w:szCs w:val="24"/>
        </w:rPr>
        <w:t>Decem</w:t>
      </w:r>
      <w:r>
        <w:rPr>
          <w:rFonts w:cs="Times New Roman"/>
          <w:sz w:val="24"/>
          <w:szCs w:val="24"/>
        </w:rPr>
        <w:t>ber 3</w:t>
      </w:r>
      <w:r w:rsidR="0021667D">
        <w:rPr>
          <w:rFonts w:cs="Times New Roman"/>
          <w:sz w:val="24"/>
          <w:szCs w:val="24"/>
        </w:rPr>
        <w:t>1</w:t>
      </w:r>
      <w:r w:rsidR="00E95505">
        <w:rPr>
          <w:rFonts w:cs="Times New Roman"/>
          <w:sz w:val="24"/>
          <w:szCs w:val="24"/>
        </w:rPr>
        <w:t>, 20</w:t>
      </w:r>
      <w:r w:rsidR="0090012F">
        <w:rPr>
          <w:rFonts w:cs="Times New Roman"/>
          <w:sz w:val="24"/>
          <w:szCs w:val="24"/>
        </w:rPr>
        <w:t>2</w:t>
      </w:r>
      <w:r w:rsidR="00B55317">
        <w:rPr>
          <w:rFonts w:cs="Times New Roman"/>
          <w:sz w:val="24"/>
          <w:szCs w:val="24"/>
        </w:rPr>
        <w:t>4</w:t>
      </w:r>
      <w:r w:rsidRPr="00186C4C">
        <w:rPr>
          <w:rFonts w:cs="Times New Roman"/>
          <w:sz w:val="24"/>
          <w:szCs w:val="24"/>
        </w:rPr>
        <w:t xml:space="preserve">, the </w:t>
      </w:r>
      <w:r>
        <w:rPr>
          <w:rFonts w:cs="Times New Roman"/>
          <w:sz w:val="24"/>
          <w:szCs w:val="24"/>
        </w:rPr>
        <w:t>County</w:t>
      </w:r>
      <w:r w:rsidRPr="00186C4C">
        <w:rPr>
          <w:rFonts w:cs="Times New Roman"/>
          <w:sz w:val="24"/>
          <w:szCs w:val="24"/>
        </w:rPr>
        <w:t>’s investable funds were invested in the following categories:</w:t>
      </w:r>
    </w:p>
    <w:p w14:paraId="6F784811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7471AAA2" w14:textId="5BC816C3" w:rsidR="00430F35" w:rsidRDefault="00B55317" w:rsidP="00430F35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B55317">
        <w:rPr>
          <w:noProof/>
        </w:rPr>
        <w:drawing>
          <wp:inline distT="0" distB="0" distL="0" distR="0" wp14:anchorId="62A2F214" wp14:editId="2BA1084C">
            <wp:extent cx="3876675" cy="771525"/>
            <wp:effectExtent l="0" t="0" r="9525" b="9525"/>
            <wp:docPr id="178297219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C0FCC" w14:textId="77777777" w:rsidR="00430F35" w:rsidRDefault="00430F35" w:rsidP="00430F3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sectPr w:rsidR="00430F35" w:rsidSect="00582088">
      <w:footerReference w:type="default" r:id="rId22"/>
      <w:pgSz w:w="12240" w:h="15840"/>
      <w:pgMar w:top="108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543F" w14:textId="77777777" w:rsidR="007F0DF1" w:rsidRDefault="007F0DF1" w:rsidP="00582088">
      <w:r>
        <w:separator/>
      </w:r>
    </w:p>
  </w:endnote>
  <w:endnote w:type="continuationSeparator" w:id="0">
    <w:p w14:paraId="32AB93A9" w14:textId="77777777" w:rsidR="007F0DF1" w:rsidRDefault="007F0DF1" w:rsidP="0058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81C5" w14:textId="77777777" w:rsidR="007F0DF1" w:rsidRDefault="007F0DF1">
    <w:pPr>
      <w:pStyle w:val="Footer"/>
      <w:jc w:val="center"/>
    </w:pPr>
  </w:p>
  <w:p w14:paraId="3CB12720" w14:textId="77777777" w:rsidR="007F0DF1" w:rsidRDefault="007F0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245706"/>
      <w:docPartObj>
        <w:docPartGallery w:val="Page Numbers (Bottom of Page)"/>
        <w:docPartUnique/>
      </w:docPartObj>
    </w:sdtPr>
    <w:sdtEndPr/>
    <w:sdtContent>
      <w:p w14:paraId="1A104996" w14:textId="77777777" w:rsidR="007F0DF1" w:rsidRDefault="008C7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CA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DE3B01E" w14:textId="77777777" w:rsidR="007F0DF1" w:rsidRDefault="007F0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6F69" w14:textId="77777777" w:rsidR="007F0DF1" w:rsidRDefault="007F0DF1" w:rsidP="00582088">
      <w:r>
        <w:separator/>
      </w:r>
    </w:p>
  </w:footnote>
  <w:footnote w:type="continuationSeparator" w:id="0">
    <w:p w14:paraId="11906A28" w14:textId="77777777" w:rsidR="007F0DF1" w:rsidRDefault="007F0DF1" w:rsidP="0058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5269A"/>
    <w:multiLevelType w:val="hybridMultilevel"/>
    <w:tmpl w:val="DF30F00C"/>
    <w:lvl w:ilvl="0" w:tplc="1DB04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1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4C"/>
    <w:rsid w:val="000068D4"/>
    <w:rsid w:val="0001000C"/>
    <w:rsid w:val="00012F5C"/>
    <w:rsid w:val="0003095B"/>
    <w:rsid w:val="0003404A"/>
    <w:rsid w:val="00043B7C"/>
    <w:rsid w:val="000961B9"/>
    <w:rsid w:val="000A449C"/>
    <w:rsid w:val="000B1DA2"/>
    <w:rsid w:val="000C34B2"/>
    <w:rsid w:val="000C5CE5"/>
    <w:rsid w:val="000C6110"/>
    <w:rsid w:val="000D2D7F"/>
    <w:rsid w:val="000E7F32"/>
    <w:rsid w:val="00111FCD"/>
    <w:rsid w:val="001144AB"/>
    <w:rsid w:val="00117B60"/>
    <w:rsid w:val="001227B6"/>
    <w:rsid w:val="00132605"/>
    <w:rsid w:val="001517F8"/>
    <w:rsid w:val="00154E09"/>
    <w:rsid w:val="001561E4"/>
    <w:rsid w:val="00157957"/>
    <w:rsid w:val="00186C4C"/>
    <w:rsid w:val="00197FBD"/>
    <w:rsid w:val="001A131E"/>
    <w:rsid w:val="001D785C"/>
    <w:rsid w:val="001E607B"/>
    <w:rsid w:val="002150C7"/>
    <w:rsid w:val="0021667D"/>
    <w:rsid w:val="00220EE5"/>
    <w:rsid w:val="002345FE"/>
    <w:rsid w:val="0025339C"/>
    <w:rsid w:val="00261720"/>
    <w:rsid w:val="002A000C"/>
    <w:rsid w:val="002C19A2"/>
    <w:rsid w:val="002C78D3"/>
    <w:rsid w:val="002D35F9"/>
    <w:rsid w:val="002F23C6"/>
    <w:rsid w:val="002F392E"/>
    <w:rsid w:val="0032725E"/>
    <w:rsid w:val="003361A9"/>
    <w:rsid w:val="0034368A"/>
    <w:rsid w:val="00356CFF"/>
    <w:rsid w:val="0038118C"/>
    <w:rsid w:val="0039295B"/>
    <w:rsid w:val="00396DB0"/>
    <w:rsid w:val="003A7230"/>
    <w:rsid w:val="003B4920"/>
    <w:rsid w:val="003F066E"/>
    <w:rsid w:val="004012B4"/>
    <w:rsid w:val="004225A5"/>
    <w:rsid w:val="00425415"/>
    <w:rsid w:val="00430F35"/>
    <w:rsid w:val="004337CF"/>
    <w:rsid w:val="00460F83"/>
    <w:rsid w:val="004741BE"/>
    <w:rsid w:val="00492518"/>
    <w:rsid w:val="00496307"/>
    <w:rsid w:val="00496589"/>
    <w:rsid w:val="004C1016"/>
    <w:rsid w:val="004E3E34"/>
    <w:rsid w:val="00502FE4"/>
    <w:rsid w:val="00504A04"/>
    <w:rsid w:val="00504C3B"/>
    <w:rsid w:val="00511834"/>
    <w:rsid w:val="00514004"/>
    <w:rsid w:val="00582088"/>
    <w:rsid w:val="00597A16"/>
    <w:rsid w:val="005B60D7"/>
    <w:rsid w:val="005D0C84"/>
    <w:rsid w:val="005D1423"/>
    <w:rsid w:val="005D71EC"/>
    <w:rsid w:val="005E016D"/>
    <w:rsid w:val="006029DE"/>
    <w:rsid w:val="00634BB9"/>
    <w:rsid w:val="006573BD"/>
    <w:rsid w:val="0067522E"/>
    <w:rsid w:val="00694ED9"/>
    <w:rsid w:val="006A0C68"/>
    <w:rsid w:val="006E6894"/>
    <w:rsid w:val="007A6E53"/>
    <w:rsid w:val="007D481A"/>
    <w:rsid w:val="007E0B3B"/>
    <w:rsid w:val="007E2C18"/>
    <w:rsid w:val="007E4C46"/>
    <w:rsid w:val="007F0DF1"/>
    <w:rsid w:val="00801899"/>
    <w:rsid w:val="0083245A"/>
    <w:rsid w:val="00864364"/>
    <w:rsid w:val="00897773"/>
    <w:rsid w:val="008B558E"/>
    <w:rsid w:val="008B7344"/>
    <w:rsid w:val="008C7846"/>
    <w:rsid w:val="008C7A6D"/>
    <w:rsid w:val="008D38C6"/>
    <w:rsid w:val="008F4214"/>
    <w:rsid w:val="0090012F"/>
    <w:rsid w:val="00904E2C"/>
    <w:rsid w:val="00904F7D"/>
    <w:rsid w:val="0094108C"/>
    <w:rsid w:val="00945A46"/>
    <w:rsid w:val="009725AF"/>
    <w:rsid w:val="009920A3"/>
    <w:rsid w:val="009A0AF8"/>
    <w:rsid w:val="009B7988"/>
    <w:rsid w:val="009F25A3"/>
    <w:rsid w:val="00A069CE"/>
    <w:rsid w:val="00A102D8"/>
    <w:rsid w:val="00A1380C"/>
    <w:rsid w:val="00A27DFC"/>
    <w:rsid w:val="00A27EDD"/>
    <w:rsid w:val="00A37CAC"/>
    <w:rsid w:val="00A46003"/>
    <w:rsid w:val="00AA2F98"/>
    <w:rsid w:val="00AE4B16"/>
    <w:rsid w:val="00B13297"/>
    <w:rsid w:val="00B470E9"/>
    <w:rsid w:val="00B55317"/>
    <w:rsid w:val="00B7777E"/>
    <w:rsid w:val="00B92D14"/>
    <w:rsid w:val="00BD4F91"/>
    <w:rsid w:val="00C016DE"/>
    <w:rsid w:val="00C10686"/>
    <w:rsid w:val="00C13762"/>
    <w:rsid w:val="00C41242"/>
    <w:rsid w:val="00C444C0"/>
    <w:rsid w:val="00C574AB"/>
    <w:rsid w:val="00C625AD"/>
    <w:rsid w:val="00C8631C"/>
    <w:rsid w:val="00CB0973"/>
    <w:rsid w:val="00CB4C92"/>
    <w:rsid w:val="00D07FF3"/>
    <w:rsid w:val="00D25A8F"/>
    <w:rsid w:val="00D66082"/>
    <w:rsid w:val="00D70D40"/>
    <w:rsid w:val="00D82533"/>
    <w:rsid w:val="00DB3B07"/>
    <w:rsid w:val="00DB69A6"/>
    <w:rsid w:val="00DC2417"/>
    <w:rsid w:val="00DE1A79"/>
    <w:rsid w:val="00DF5692"/>
    <w:rsid w:val="00E21923"/>
    <w:rsid w:val="00E27A5A"/>
    <w:rsid w:val="00E31D48"/>
    <w:rsid w:val="00E32CA1"/>
    <w:rsid w:val="00E35919"/>
    <w:rsid w:val="00E441A0"/>
    <w:rsid w:val="00E5595F"/>
    <w:rsid w:val="00E57D92"/>
    <w:rsid w:val="00E706DE"/>
    <w:rsid w:val="00E83C88"/>
    <w:rsid w:val="00E840E4"/>
    <w:rsid w:val="00E95414"/>
    <w:rsid w:val="00E95505"/>
    <w:rsid w:val="00E95CA0"/>
    <w:rsid w:val="00EF78E6"/>
    <w:rsid w:val="00F07367"/>
    <w:rsid w:val="00F11821"/>
    <w:rsid w:val="00F313B9"/>
    <w:rsid w:val="00F7121F"/>
    <w:rsid w:val="00F975D0"/>
    <w:rsid w:val="00FA14FA"/>
    <w:rsid w:val="00FA77C8"/>
    <w:rsid w:val="00FC221D"/>
    <w:rsid w:val="00FD0511"/>
    <w:rsid w:val="00FD5A08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3B26"/>
  <w15:docId w15:val="{4AF21AC2-5D16-4F9A-90B2-0D27BE97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0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2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088"/>
  </w:style>
  <w:style w:type="paragraph" w:styleId="Footer">
    <w:name w:val="footer"/>
    <w:basedOn w:val="Normal"/>
    <w:link w:val="FooterChar"/>
    <w:uiPriority w:val="99"/>
    <w:unhideWhenUsed/>
    <w:rsid w:val="0058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088"/>
  </w:style>
  <w:style w:type="paragraph" w:styleId="ListParagraph">
    <w:name w:val="List Paragraph"/>
    <w:basedOn w:val="Normal"/>
    <w:uiPriority w:val="34"/>
    <w:qFormat/>
    <w:rsid w:val="00504A04"/>
    <w:pPr>
      <w:tabs>
        <w:tab w:val="left" w:pos="-720"/>
      </w:tabs>
      <w:suppressAutoHyphens/>
      <w:ind w:left="720" w:firstLine="446"/>
      <w:contextualSpacing/>
      <w:jc w:val="both"/>
    </w:pPr>
    <w:rPr>
      <w:rFonts w:ascii="CG Times (WN)" w:eastAsia="Times New Roman" w:hAnsi="CG Times (WN)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7704-ECE5-4933-B7B7-C1E4BD70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Kristin Merz</cp:lastModifiedBy>
  <cp:revision>3</cp:revision>
  <cp:lastPrinted>2010-06-30T15:17:00Z</cp:lastPrinted>
  <dcterms:created xsi:type="dcterms:W3CDTF">2025-08-19T19:08:00Z</dcterms:created>
  <dcterms:modified xsi:type="dcterms:W3CDTF">2025-08-19T19:12:00Z</dcterms:modified>
</cp:coreProperties>
</file>